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9FF2" w14:textId="39B18E49" w:rsidR="00A72FCE" w:rsidRPr="00485F65" w:rsidRDefault="00485F65" w:rsidP="00A72FCE">
      <w:pPr>
        <w:rPr>
          <w:rFonts w:ascii="Calibri" w:hAnsi="Calibri" w:cs="Calibri"/>
          <w:sz w:val="22"/>
          <w:szCs w:val="22"/>
          <w:lang w:val="fr-CA"/>
        </w:rPr>
      </w:pPr>
      <w:r w:rsidRPr="00485F65">
        <w:rPr>
          <w:rFonts w:ascii="Calibri" w:hAnsi="Calibri" w:cs="Calibri"/>
          <w:b/>
          <w:bCs/>
          <w:sz w:val="28"/>
          <w:szCs w:val="28"/>
          <w:lang w:val="fr-CA"/>
        </w:rPr>
        <w:t xml:space="preserve">Lignes directrices pour la consultation publique sur la </w:t>
      </w:r>
      <w:r w:rsidRPr="00485F65">
        <w:rPr>
          <w:rFonts w:ascii="Calibri" w:hAnsi="Calibri" w:cs="Calibri"/>
          <w:b/>
          <w:bCs/>
          <w:i/>
          <w:iCs/>
          <w:sz w:val="28"/>
          <w:szCs w:val="28"/>
          <w:lang w:val="fr-CA"/>
        </w:rPr>
        <w:t>Loi visant le bien-être des animaux</w:t>
      </w:r>
      <w:r w:rsidR="009B0F33" w:rsidRPr="00485F65">
        <w:rPr>
          <w:rFonts w:ascii="Calibri" w:hAnsi="Calibri" w:cs="Calibri"/>
          <w:b/>
          <w:bCs/>
          <w:sz w:val="28"/>
          <w:szCs w:val="28"/>
          <w:lang w:val="fr-CA"/>
        </w:rPr>
        <w:br/>
      </w:r>
      <w:r w:rsidRPr="00485F65">
        <w:rPr>
          <w:rFonts w:ascii="Calibri" w:hAnsi="Calibri" w:cs="Calibri"/>
          <w:sz w:val="22"/>
          <w:szCs w:val="22"/>
          <w:lang w:val="fr-CA"/>
        </w:rPr>
        <w:t xml:space="preserve">Le ministère du Solliciteur général de l'Ontario envisage d'élaborer des exceptions liées à certaines interdictions relatives aux usines à chiots dans la Loi </w:t>
      </w:r>
      <w:r>
        <w:rPr>
          <w:rFonts w:ascii="Calibri" w:hAnsi="Calibri" w:cs="Calibri"/>
          <w:sz w:val="22"/>
          <w:szCs w:val="22"/>
          <w:lang w:val="fr-CA"/>
        </w:rPr>
        <w:t>visant le bien-être</w:t>
      </w:r>
      <w:r w:rsidRPr="00485F65">
        <w:rPr>
          <w:rFonts w:ascii="Calibri" w:hAnsi="Calibri" w:cs="Calibri"/>
          <w:sz w:val="22"/>
          <w:szCs w:val="22"/>
          <w:lang w:val="fr-CA"/>
        </w:rPr>
        <w:t xml:space="preserve"> des animaux. Voici quelques observations et recommandations pour aider les membres du CCC à faire en sorte que la législation soit raisonnable, non discriminatoire et applicable :</w:t>
      </w:r>
    </w:p>
    <w:tbl>
      <w:tblPr>
        <w:tblStyle w:val="Grilledutableau"/>
        <w:tblW w:w="11766" w:type="dxa"/>
        <w:tblInd w:w="-431" w:type="dxa"/>
        <w:tblLayout w:type="fixed"/>
        <w:tblLook w:val="06A0" w:firstRow="1" w:lastRow="0" w:firstColumn="1" w:lastColumn="0" w:noHBand="1" w:noVBand="1"/>
      </w:tblPr>
      <w:tblGrid>
        <w:gridCol w:w="4979"/>
        <w:gridCol w:w="6787"/>
      </w:tblGrid>
      <w:tr w:rsidR="009B0F33" w:rsidRPr="00485F65" w14:paraId="15C2A5FA" w14:textId="77777777" w:rsidTr="00A72FCE">
        <w:trPr>
          <w:trHeight w:val="655"/>
        </w:trPr>
        <w:tc>
          <w:tcPr>
            <w:tcW w:w="4979" w:type="dxa"/>
            <w:vAlign w:val="center"/>
          </w:tcPr>
          <w:p w14:paraId="029A08CA" w14:textId="3AFE175B" w:rsidR="009B0F33" w:rsidRPr="00485F65" w:rsidRDefault="00485F65" w:rsidP="00485F65">
            <w:pPr>
              <w:jc w:val="center"/>
              <w:rPr>
                <w:rFonts w:ascii="Calibri" w:eastAsia="Aptos" w:hAnsi="Calibri" w:cs="Calibri"/>
                <w:b/>
                <w:bCs/>
                <w:sz w:val="22"/>
                <w:szCs w:val="22"/>
                <w:lang w:val="fr-CA"/>
              </w:rPr>
            </w:pPr>
            <w:r w:rsidRPr="00485F65">
              <w:rPr>
                <w:rFonts w:ascii="Calibri" w:eastAsia="Aptos" w:hAnsi="Calibri" w:cs="Calibri"/>
                <w:b/>
                <w:bCs/>
                <w:sz w:val="22"/>
                <w:szCs w:val="22"/>
                <w:lang w:val="fr-CA"/>
              </w:rPr>
              <w:t xml:space="preserve">Résumé des principales exceptions proposées par le gouvernement dans la loi </w:t>
            </w:r>
            <w:r>
              <w:rPr>
                <w:rFonts w:ascii="Calibri" w:eastAsia="Aptos" w:hAnsi="Calibri" w:cs="Calibri"/>
                <w:b/>
                <w:bCs/>
                <w:sz w:val="22"/>
                <w:szCs w:val="22"/>
                <w:lang w:val="fr-CA"/>
              </w:rPr>
              <w:t>visant le bien-être des animaux</w:t>
            </w:r>
          </w:p>
        </w:tc>
        <w:tc>
          <w:tcPr>
            <w:tcW w:w="6787" w:type="dxa"/>
            <w:vAlign w:val="center"/>
          </w:tcPr>
          <w:p w14:paraId="33C4A3CF" w14:textId="1264790F" w:rsidR="00485F65" w:rsidRDefault="00485F65" w:rsidP="00A72FCE">
            <w:pPr>
              <w:jc w:val="center"/>
              <w:rPr>
                <w:rFonts w:ascii="Calibri" w:eastAsia="Aptos" w:hAnsi="Calibri" w:cs="Calibri"/>
                <w:b/>
                <w:bCs/>
                <w:sz w:val="22"/>
                <w:szCs w:val="22"/>
                <w:lang w:val="fr-CA"/>
              </w:rPr>
            </w:pPr>
            <w:r w:rsidRPr="00485F65">
              <w:rPr>
                <w:rFonts w:ascii="Calibri" w:eastAsia="Aptos" w:hAnsi="Calibri" w:cs="Calibri"/>
                <w:b/>
                <w:bCs/>
                <w:sz w:val="22"/>
                <w:szCs w:val="22"/>
                <w:lang w:val="fr-CA"/>
              </w:rPr>
              <w:t>Recommandations d</w:t>
            </w:r>
            <w:r w:rsidR="004F3BBD">
              <w:rPr>
                <w:rFonts w:ascii="Calibri" w:eastAsia="Aptos" w:hAnsi="Calibri" w:cs="Calibri"/>
                <w:b/>
                <w:bCs/>
                <w:sz w:val="22"/>
                <w:szCs w:val="22"/>
                <w:lang w:val="fr-CA"/>
              </w:rPr>
              <w:t xml:space="preserve">u </w:t>
            </w:r>
            <w:r w:rsidRPr="00485F65">
              <w:rPr>
                <w:rFonts w:ascii="Calibri" w:eastAsia="Aptos" w:hAnsi="Calibri" w:cs="Calibri"/>
                <w:b/>
                <w:bCs/>
                <w:sz w:val="22"/>
                <w:szCs w:val="22"/>
                <w:lang w:val="fr-CA"/>
              </w:rPr>
              <w:t xml:space="preserve">CCC pour soutenir les membres </w:t>
            </w:r>
          </w:p>
          <w:p w14:paraId="6A4FE2F4" w14:textId="47842678" w:rsidR="009B0F33" w:rsidRPr="00485F65" w:rsidRDefault="00485F65" w:rsidP="00A72FCE">
            <w:pPr>
              <w:jc w:val="center"/>
              <w:rPr>
                <w:rFonts w:ascii="Calibri" w:eastAsia="Aptos" w:hAnsi="Calibri" w:cs="Calibri"/>
                <w:b/>
                <w:bCs/>
                <w:sz w:val="22"/>
                <w:szCs w:val="22"/>
                <w:lang w:val="fr-CA"/>
              </w:rPr>
            </w:pPr>
            <w:r w:rsidRPr="00485F65">
              <w:rPr>
                <w:rFonts w:ascii="Calibri" w:eastAsia="Aptos" w:hAnsi="Calibri" w:cs="Calibri"/>
                <w:b/>
                <w:bCs/>
                <w:sz w:val="22"/>
                <w:szCs w:val="22"/>
                <w:lang w:val="fr-CA"/>
              </w:rPr>
              <w:t>Objet : Consultation publique</w:t>
            </w:r>
          </w:p>
        </w:tc>
      </w:tr>
      <w:tr w:rsidR="009B0F33" w:rsidRPr="004F3BBD" w14:paraId="4488609E" w14:textId="77777777" w:rsidTr="00A72FCE">
        <w:trPr>
          <w:trHeight w:val="2892"/>
        </w:trPr>
        <w:tc>
          <w:tcPr>
            <w:tcW w:w="4979" w:type="dxa"/>
            <w:shd w:val="clear" w:color="auto" w:fill="E8E8E8" w:themeFill="background2"/>
            <w:vAlign w:val="center"/>
          </w:tcPr>
          <w:p w14:paraId="6766318C" w14:textId="6434D52D" w:rsidR="009B0F33" w:rsidRPr="00485F65" w:rsidRDefault="00485F65" w:rsidP="00A72FCE">
            <w:pPr>
              <w:pStyle w:val="Paragraphedeliste"/>
              <w:numPr>
                <w:ilvl w:val="0"/>
                <w:numId w:val="2"/>
              </w:numPr>
              <w:spacing w:line="240" w:lineRule="auto"/>
              <w:rPr>
                <w:rFonts w:ascii="Calibri" w:eastAsia="Aptos" w:hAnsi="Calibri" w:cs="Calibri"/>
                <w:sz w:val="22"/>
                <w:szCs w:val="22"/>
                <w:lang w:val="fr-CA"/>
              </w:rPr>
            </w:pPr>
            <w:r w:rsidRPr="00485F65">
              <w:rPr>
                <w:rFonts w:ascii="Calibri" w:eastAsia="Aptos" w:hAnsi="Calibri" w:cs="Calibri"/>
                <w:sz w:val="22"/>
                <w:szCs w:val="22"/>
                <w:lang w:val="fr-CA"/>
              </w:rPr>
              <w:t>Omettre d'isoler un chien des autres chiens ou animaux et des objets (y compris les récipients de nourriture et d'eau) utilisés par d'autres chiens ou animaux, lorsque le chien est atteint d'une maladie contagieuse ou présente un risque élevé de développer une maladie contagieuse.</w:t>
            </w:r>
          </w:p>
          <w:p w14:paraId="5687BDDF" w14:textId="77777777" w:rsidR="009B0F33" w:rsidRPr="00485F65" w:rsidRDefault="009B0F33" w:rsidP="00A72FCE">
            <w:pPr>
              <w:pStyle w:val="Paragraphedeliste"/>
              <w:ind w:left="360"/>
              <w:rPr>
                <w:rFonts w:ascii="Calibri" w:eastAsia="Aptos" w:hAnsi="Calibri" w:cs="Calibri"/>
                <w:sz w:val="22"/>
                <w:szCs w:val="22"/>
                <w:lang w:val="fr-CA"/>
              </w:rPr>
            </w:pPr>
          </w:p>
          <w:p w14:paraId="483B0934" w14:textId="1BDCF50C" w:rsidR="00B416DB" w:rsidRDefault="00485F65" w:rsidP="00A72FCE">
            <w:pPr>
              <w:ind w:left="360"/>
              <w:rPr>
                <w:rFonts w:ascii="Calibri" w:eastAsia="Aptos" w:hAnsi="Calibri" w:cs="Calibri"/>
                <w:b/>
                <w:bCs/>
                <w:sz w:val="22"/>
                <w:szCs w:val="22"/>
                <w:lang w:val="fr-CA"/>
              </w:rPr>
            </w:pPr>
            <w:r w:rsidRPr="00485F65">
              <w:rPr>
                <w:rFonts w:ascii="Calibri" w:eastAsia="Aptos" w:hAnsi="Calibri" w:cs="Calibri"/>
                <w:b/>
                <w:bCs/>
                <w:sz w:val="22"/>
                <w:szCs w:val="22"/>
                <w:lang w:val="fr-CA"/>
              </w:rPr>
              <w:t>Exception proposée par le gouvernement</w:t>
            </w:r>
            <w:r w:rsidR="00B416DB">
              <w:rPr>
                <w:rFonts w:ascii="Calibri" w:eastAsia="Aptos" w:hAnsi="Calibri" w:cs="Calibri"/>
                <w:b/>
                <w:bCs/>
                <w:sz w:val="22"/>
                <w:szCs w:val="22"/>
                <w:lang w:val="fr-CA"/>
              </w:rPr>
              <w:t xml:space="preserve"> </w:t>
            </w:r>
            <w:r w:rsidR="009B0F33" w:rsidRPr="00485F65">
              <w:rPr>
                <w:rFonts w:ascii="Calibri" w:eastAsia="Aptos" w:hAnsi="Calibri" w:cs="Calibri"/>
                <w:b/>
                <w:bCs/>
                <w:sz w:val="22"/>
                <w:szCs w:val="22"/>
                <w:lang w:val="fr-CA"/>
              </w:rPr>
              <w:t xml:space="preserve">: </w:t>
            </w:r>
          </w:p>
          <w:p w14:paraId="03AC304F" w14:textId="1A6C4FB8" w:rsidR="009B0F33" w:rsidRPr="00485F65" w:rsidRDefault="00485F65" w:rsidP="00A72FCE">
            <w:pPr>
              <w:ind w:left="360"/>
              <w:rPr>
                <w:rFonts w:ascii="Calibri" w:hAnsi="Calibri" w:cs="Calibri"/>
                <w:b/>
                <w:bCs/>
                <w:sz w:val="22"/>
                <w:szCs w:val="22"/>
                <w:lang w:val="fr-CA"/>
              </w:rPr>
            </w:pPr>
            <w:r w:rsidRPr="00485F65">
              <w:rPr>
                <w:rFonts w:ascii="Calibri" w:eastAsia="Aptos" w:hAnsi="Calibri" w:cs="Calibri"/>
                <w:sz w:val="22"/>
                <w:szCs w:val="22"/>
                <w:lang w:val="fr-CA"/>
              </w:rPr>
              <w:t>Sauf si un vétérinaire a indiqué, par écrit, que l'isolement n'est pas nécessaire</w:t>
            </w:r>
            <w:r w:rsidR="009B0F33" w:rsidRPr="00485F65">
              <w:rPr>
                <w:rFonts w:ascii="Calibri" w:hAnsi="Calibri" w:cs="Calibri"/>
                <w:sz w:val="22"/>
                <w:szCs w:val="22"/>
                <w:lang w:val="fr-CA"/>
              </w:rPr>
              <w:t>.</w:t>
            </w:r>
          </w:p>
        </w:tc>
        <w:tc>
          <w:tcPr>
            <w:tcW w:w="6787" w:type="dxa"/>
          </w:tcPr>
          <w:p w14:paraId="057A1E73" w14:textId="77777777" w:rsidR="00485F65" w:rsidRPr="00485F65" w:rsidRDefault="00485F65" w:rsidP="00485F65">
            <w:pPr>
              <w:pStyle w:val="Paragraphedeliste"/>
              <w:numPr>
                <w:ilvl w:val="0"/>
                <w:numId w:val="4"/>
              </w:numPr>
              <w:spacing w:line="240" w:lineRule="auto"/>
              <w:rPr>
                <w:rFonts w:ascii="Calibri" w:eastAsia="Aptos" w:hAnsi="Calibri" w:cs="Calibri"/>
                <w:sz w:val="22"/>
                <w:szCs w:val="22"/>
                <w:lang w:val="fr-CA"/>
              </w:rPr>
            </w:pPr>
            <w:r w:rsidRPr="00485F65">
              <w:rPr>
                <w:rFonts w:ascii="Calibri" w:eastAsia="Aptos" w:hAnsi="Calibri" w:cs="Calibri"/>
                <w:sz w:val="22"/>
                <w:szCs w:val="22"/>
                <w:lang w:val="fr-CA"/>
              </w:rPr>
              <w:t>Soutenir cette exigence, mais noter que la législation proposée s'appuie uniquement sur les signes visibles de la maladie avant que l'isolement ne soit requis. De nombreuses maladies contagieuses chez les chiens ne présentent pas de symptômes évidents au début, mais peuvent néanmoins être hautement transmissibles pendant cette période de latence.</w:t>
            </w:r>
          </w:p>
          <w:p w14:paraId="6B3AA993" w14:textId="68888B81" w:rsidR="009B0F33" w:rsidRPr="00485F65" w:rsidRDefault="00485F65" w:rsidP="00485F65">
            <w:pPr>
              <w:pStyle w:val="Paragraphedeliste"/>
              <w:numPr>
                <w:ilvl w:val="0"/>
                <w:numId w:val="4"/>
              </w:numPr>
              <w:spacing w:line="240" w:lineRule="auto"/>
              <w:rPr>
                <w:rFonts w:ascii="Calibri" w:hAnsi="Calibri" w:cs="Calibri"/>
                <w:sz w:val="22"/>
                <w:szCs w:val="22"/>
                <w:lang w:val="fr-CA"/>
              </w:rPr>
            </w:pPr>
            <w:r w:rsidRPr="00485F65">
              <w:rPr>
                <w:rFonts w:ascii="Calibri" w:eastAsia="Aptos" w:hAnsi="Calibri" w:cs="Calibri"/>
                <w:sz w:val="22"/>
                <w:szCs w:val="22"/>
                <w:lang w:val="fr-CA"/>
              </w:rPr>
              <w:t xml:space="preserve">Encourager le gouvernement à appliquer les normes de soins existantes dans la loi </w:t>
            </w:r>
            <w:r>
              <w:rPr>
                <w:rFonts w:ascii="Calibri" w:eastAsia="Aptos" w:hAnsi="Calibri" w:cs="Calibri"/>
                <w:sz w:val="22"/>
                <w:szCs w:val="22"/>
                <w:lang w:val="fr-CA"/>
              </w:rPr>
              <w:t>visant le bien-être des animaux</w:t>
            </w:r>
            <w:r w:rsidRPr="00485F65">
              <w:rPr>
                <w:rFonts w:ascii="Calibri" w:eastAsia="Aptos" w:hAnsi="Calibri" w:cs="Calibri"/>
                <w:sz w:val="22"/>
                <w:szCs w:val="22"/>
                <w:lang w:val="fr-CA"/>
              </w:rPr>
              <w:t>, qui peuvent être mesurées, appliquées et modifiées au fil du temps en fonction de l'évolution de la science, en plus de sanctions plus sévères.</w:t>
            </w:r>
          </w:p>
        </w:tc>
      </w:tr>
      <w:tr w:rsidR="009B0F33" w:rsidRPr="004F3BBD" w14:paraId="47B9E7DB" w14:textId="77777777" w:rsidTr="00A72FCE">
        <w:trPr>
          <w:trHeight w:val="1693"/>
        </w:trPr>
        <w:tc>
          <w:tcPr>
            <w:tcW w:w="4979" w:type="dxa"/>
            <w:shd w:val="clear" w:color="auto" w:fill="E8E8E8" w:themeFill="background2"/>
          </w:tcPr>
          <w:p w14:paraId="7FC5F2EF" w14:textId="128D773B" w:rsidR="009B0F33" w:rsidRPr="00B416DB" w:rsidRDefault="00B416DB" w:rsidP="00B416DB">
            <w:pPr>
              <w:pStyle w:val="Paragraphedeliste"/>
              <w:numPr>
                <w:ilvl w:val="0"/>
                <w:numId w:val="2"/>
              </w:numPr>
              <w:spacing w:line="240" w:lineRule="auto"/>
              <w:rPr>
                <w:rFonts w:ascii="Calibri" w:hAnsi="Calibri" w:cs="Calibri"/>
                <w:sz w:val="22"/>
                <w:szCs w:val="22"/>
                <w:lang w:val="fr-CA"/>
              </w:rPr>
            </w:pPr>
            <w:r w:rsidRPr="00B416DB">
              <w:rPr>
                <w:rFonts w:ascii="Calibri" w:hAnsi="Calibri" w:cs="Calibri"/>
                <w:sz w:val="22"/>
                <w:szCs w:val="22"/>
                <w:lang w:val="fr-CA"/>
              </w:rPr>
              <w:t>Faire reproduire une chienne pour la première fois avant son deuxième cycle de chaleur.</w:t>
            </w:r>
          </w:p>
          <w:p w14:paraId="710FFE36" w14:textId="77777777" w:rsidR="00B416DB" w:rsidRPr="00B416DB" w:rsidRDefault="00B416DB" w:rsidP="00B416DB">
            <w:pPr>
              <w:pStyle w:val="Paragraphedeliste"/>
              <w:spacing w:line="240" w:lineRule="auto"/>
              <w:ind w:left="360"/>
              <w:rPr>
                <w:rFonts w:ascii="Calibri" w:eastAsia="Aptos" w:hAnsi="Calibri" w:cs="Calibri"/>
                <w:color w:val="000000" w:themeColor="text1"/>
                <w:sz w:val="22"/>
                <w:szCs w:val="22"/>
                <w:lang w:val="fr-CA"/>
              </w:rPr>
            </w:pPr>
          </w:p>
          <w:p w14:paraId="188DD7A9" w14:textId="77777777" w:rsidR="00B416DB" w:rsidRDefault="00B416DB" w:rsidP="00A72FCE">
            <w:pPr>
              <w:pStyle w:val="Paragraphedeliste"/>
              <w:ind w:left="360"/>
              <w:rPr>
                <w:rFonts w:ascii="Calibri" w:eastAsia="Aptos" w:hAnsi="Calibri" w:cs="Calibri"/>
                <w:color w:val="000000" w:themeColor="text1"/>
                <w:sz w:val="22"/>
                <w:szCs w:val="22"/>
                <w:lang w:val="fr-CA"/>
              </w:rPr>
            </w:pPr>
            <w:r w:rsidRPr="00485F65">
              <w:rPr>
                <w:rFonts w:ascii="Calibri" w:eastAsia="Aptos" w:hAnsi="Calibri" w:cs="Calibri"/>
                <w:b/>
                <w:bCs/>
                <w:sz w:val="22"/>
                <w:szCs w:val="22"/>
                <w:lang w:val="fr-CA"/>
              </w:rPr>
              <w:t>Exception</w:t>
            </w:r>
            <w:r>
              <w:rPr>
                <w:rFonts w:ascii="Calibri" w:eastAsia="Aptos" w:hAnsi="Calibri" w:cs="Calibri"/>
                <w:b/>
                <w:bCs/>
                <w:sz w:val="22"/>
                <w:szCs w:val="22"/>
                <w:lang w:val="fr-CA"/>
              </w:rPr>
              <w:t>s</w:t>
            </w:r>
            <w:r w:rsidRPr="00485F65">
              <w:rPr>
                <w:rFonts w:ascii="Calibri" w:eastAsia="Aptos" w:hAnsi="Calibri" w:cs="Calibri"/>
                <w:b/>
                <w:bCs/>
                <w:sz w:val="22"/>
                <w:szCs w:val="22"/>
                <w:lang w:val="fr-CA"/>
              </w:rPr>
              <w:t xml:space="preserve"> proposée</w:t>
            </w:r>
            <w:r>
              <w:rPr>
                <w:rFonts w:ascii="Calibri" w:eastAsia="Aptos" w:hAnsi="Calibri" w:cs="Calibri"/>
                <w:b/>
                <w:bCs/>
                <w:sz w:val="22"/>
                <w:szCs w:val="22"/>
                <w:lang w:val="fr-CA"/>
              </w:rPr>
              <w:t>s</w:t>
            </w:r>
            <w:r w:rsidRPr="00485F65">
              <w:rPr>
                <w:rFonts w:ascii="Calibri" w:eastAsia="Aptos" w:hAnsi="Calibri" w:cs="Calibri"/>
                <w:b/>
                <w:bCs/>
                <w:sz w:val="22"/>
                <w:szCs w:val="22"/>
                <w:lang w:val="fr-CA"/>
              </w:rPr>
              <w:t xml:space="preserve"> par le gouvernement</w:t>
            </w:r>
            <w:r>
              <w:rPr>
                <w:rFonts w:ascii="Calibri" w:eastAsia="Aptos" w:hAnsi="Calibri" w:cs="Calibri"/>
                <w:b/>
                <w:bCs/>
                <w:sz w:val="22"/>
                <w:szCs w:val="22"/>
                <w:lang w:val="fr-CA"/>
              </w:rPr>
              <w:t xml:space="preserve"> </w:t>
            </w:r>
            <w:r w:rsidR="009B0F33" w:rsidRPr="00485F65">
              <w:rPr>
                <w:rFonts w:ascii="Calibri" w:eastAsia="Aptos" w:hAnsi="Calibri" w:cs="Calibri"/>
                <w:b/>
                <w:bCs/>
                <w:color w:val="000000" w:themeColor="text1"/>
                <w:sz w:val="22"/>
                <w:szCs w:val="22"/>
                <w:lang w:val="fr-CA"/>
              </w:rPr>
              <w:t>:</w:t>
            </w:r>
            <w:r w:rsidR="009B0F33" w:rsidRPr="00485F65">
              <w:rPr>
                <w:rFonts w:ascii="Calibri" w:eastAsia="Aptos" w:hAnsi="Calibri" w:cs="Calibri"/>
                <w:color w:val="000000" w:themeColor="text1"/>
                <w:sz w:val="22"/>
                <w:szCs w:val="22"/>
                <w:lang w:val="fr-CA"/>
              </w:rPr>
              <w:t xml:space="preserve"> </w:t>
            </w:r>
          </w:p>
          <w:p w14:paraId="6805BC13" w14:textId="0B276BD4" w:rsidR="009B0F33" w:rsidRPr="00485F65" w:rsidRDefault="00B416DB" w:rsidP="00A72FCE">
            <w:pPr>
              <w:pStyle w:val="Paragraphedeliste"/>
              <w:ind w:left="360"/>
              <w:rPr>
                <w:rFonts w:ascii="Calibri" w:eastAsia="Aptos" w:hAnsi="Calibri" w:cs="Calibri"/>
                <w:color w:val="000000" w:themeColor="text1"/>
                <w:sz w:val="22"/>
                <w:szCs w:val="22"/>
                <w:lang w:val="fr-CA"/>
              </w:rPr>
            </w:pPr>
            <w:r>
              <w:rPr>
                <w:rFonts w:ascii="Calibri" w:eastAsia="Aptos" w:hAnsi="Calibri" w:cs="Calibri"/>
                <w:color w:val="000000" w:themeColor="text1"/>
                <w:sz w:val="22"/>
                <w:szCs w:val="22"/>
                <w:lang w:val="fr-CA"/>
              </w:rPr>
              <w:t>Aucune exception</w:t>
            </w:r>
            <w:r w:rsidR="009B0F33" w:rsidRPr="00485F65">
              <w:rPr>
                <w:rFonts w:ascii="Calibri" w:eastAsia="Aptos" w:hAnsi="Calibri" w:cs="Calibri"/>
                <w:color w:val="000000" w:themeColor="text1"/>
                <w:sz w:val="22"/>
                <w:szCs w:val="22"/>
                <w:lang w:val="fr-CA"/>
              </w:rPr>
              <w:t>.</w:t>
            </w:r>
          </w:p>
          <w:p w14:paraId="3F0D0B7B" w14:textId="77777777" w:rsidR="009B0F33" w:rsidRPr="00485F65" w:rsidRDefault="009B0F33" w:rsidP="00A72FCE">
            <w:pPr>
              <w:pStyle w:val="Paragraphedeliste"/>
              <w:ind w:left="360"/>
              <w:rPr>
                <w:rFonts w:ascii="Calibri" w:eastAsia="Aptos" w:hAnsi="Calibri" w:cs="Calibri"/>
                <w:sz w:val="22"/>
                <w:szCs w:val="22"/>
                <w:lang w:val="fr-CA"/>
              </w:rPr>
            </w:pPr>
          </w:p>
        </w:tc>
        <w:tc>
          <w:tcPr>
            <w:tcW w:w="6787" w:type="dxa"/>
          </w:tcPr>
          <w:p w14:paraId="79E51BF7" w14:textId="77777777" w:rsidR="00B416DB" w:rsidRPr="00B416DB" w:rsidRDefault="00B416DB" w:rsidP="00B416DB">
            <w:pPr>
              <w:pStyle w:val="Paragraphedeliste"/>
              <w:numPr>
                <w:ilvl w:val="0"/>
                <w:numId w:val="3"/>
              </w:numPr>
              <w:spacing w:line="240" w:lineRule="auto"/>
              <w:rPr>
                <w:rFonts w:ascii="Calibri" w:hAnsi="Calibri" w:cs="Calibri"/>
                <w:sz w:val="22"/>
                <w:szCs w:val="22"/>
                <w:lang w:val="fr-CA"/>
              </w:rPr>
            </w:pPr>
            <w:r w:rsidRPr="00B416DB">
              <w:rPr>
                <w:rFonts w:ascii="Calibri" w:hAnsi="Calibri" w:cs="Calibri"/>
                <w:sz w:val="22"/>
                <w:szCs w:val="22"/>
                <w:lang w:val="fr-CA"/>
              </w:rPr>
              <w:t xml:space="preserve">Demander une exception pour les chiens enregistrés auprès du CCC et tous les chiens enregistrés auprès des associations de race en vertu de la </w:t>
            </w:r>
            <w:r w:rsidRPr="004F3BBD">
              <w:rPr>
                <w:rFonts w:ascii="Calibri" w:hAnsi="Calibri" w:cs="Calibri"/>
                <w:i/>
                <w:iCs/>
                <w:sz w:val="22"/>
                <w:szCs w:val="22"/>
                <w:lang w:val="fr-CA"/>
              </w:rPr>
              <w:t>Loi sur la généalogie des animaux</w:t>
            </w:r>
            <w:r w:rsidRPr="00B416DB">
              <w:rPr>
                <w:rFonts w:ascii="Calibri" w:hAnsi="Calibri" w:cs="Calibri"/>
                <w:sz w:val="22"/>
                <w:szCs w:val="22"/>
                <w:lang w:val="fr-CA"/>
              </w:rPr>
              <w:t>, parce que :</w:t>
            </w:r>
          </w:p>
          <w:p w14:paraId="6F9F2777" w14:textId="5B30B9F3" w:rsidR="009B0F33" w:rsidRPr="00485F65" w:rsidRDefault="00B416DB" w:rsidP="00B416DB">
            <w:pPr>
              <w:pStyle w:val="Paragraphedeliste"/>
              <w:numPr>
                <w:ilvl w:val="0"/>
                <w:numId w:val="5"/>
              </w:numPr>
              <w:spacing w:line="240" w:lineRule="auto"/>
              <w:rPr>
                <w:rFonts w:ascii="Calibri" w:hAnsi="Calibri" w:cs="Calibri"/>
                <w:sz w:val="22"/>
                <w:szCs w:val="22"/>
                <w:lang w:val="fr-CA"/>
              </w:rPr>
            </w:pPr>
            <w:r w:rsidRPr="00B416DB">
              <w:rPr>
                <w:rFonts w:ascii="Calibri" w:hAnsi="Calibri" w:cs="Calibri"/>
                <w:sz w:val="22"/>
                <w:szCs w:val="22"/>
                <w:lang w:val="fr-CA"/>
              </w:rPr>
              <w:t>Cette déclaration générale ne s'applique pas à tous les chiens, car ils peuvent varier considérablement en fonction de leur race, de leur génétique et de leur état de santé. Par exemple, les petites races ont des cycles de chaleur différents de ceux des grandes races.</w:t>
            </w:r>
          </w:p>
        </w:tc>
      </w:tr>
      <w:tr w:rsidR="009B0F33" w:rsidRPr="004F3BBD" w14:paraId="10D25355" w14:textId="77777777" w:rsidTr="00A72FCE">
        <w:trPr>
          <w:trHeight w:val="565"/>
        </w:trPr>
        <w:tc>
          <w:tcPr>
            <w:tcW w:w="4979" w:type="dxa"/>
            <w:shd w:val="clear" w:color="auto" w:fill="E8E8E8" w:themeFill="background2"/>
            <w:vAlign w:val="center"/>
          </w:tcPr>
          <w:p w14:paraId="7D463353" w14:textId="2736B8BB" w:rsidR="00B416DB" w:rsidRPr="00B416DB" w:rsidRDefault="00B416DB" w:rsidP="00B416DB">
            <w:pPr>
              <w:pStyle w:val="Paragraphedeliste"/>
              <w:numPr>
                <w:ilvl w:val="0"/>
                <w:numId w:val="2"/>
              </w:numPr>
              <w:spacing w:line="240" w:lineRule="auto"/>
              <w:rPr>
                <w:rFonts w:ascii="Calibri" w:hAnsi="Calibri" w:cs="Calibri"/>
                <w:sz w:val="22"/>
                <w:szCs w:val="22"/>
                <w:lang w:val="fr-CA"/>
              </w:rPr>
            </w:pPr>
            <w:r w:rsidRPr="00B416DB">
              <w:rPr>
                <w:rFonts w:ascii="Calibri" w:hAnsi="Calibri" w:cs="Calibri"/>
                <w:sz w:val="22"/>
                <w:szCs w:val="22"/>
                <w:lang w:val="fr-CA"/>
              </w:rPr>
              <w:t>Faire reproduire un chien parent avec n’importe quel chien issu de l’une de ses portées ou faire reproduire des chiens frères et sœurs;</w:t>
            </w:r>
          </w:p>
          <w:p w14:paraId="2CCD0AC3" w14:textId="77777777" w:rsidR="009B0F33" w:rsidRPr="00485F65" w:rsidRDefault="009B0F33" w:rsidP="00A72FCE">
            <w:pPr>
              <w:pStyle w:val="Paragraphedeliste"/>
              <w:ind w:left="360"/>
              <w:rPr>
                <w:rFonts w:ascii="Calibri" w:eastAsia="Aptos" w:hAnsi="Calibri" w:cs="Calibri"/>
                <w:b/>
                <w:bCs/>
                <w:color w:val="000000" w:themeColor="text1"/>
                <w:sz w:val="22"/>
                <w:szCs w:val="22"/>
                <w:lang w:val="fr-CA"/>
              </w:rPr>
            </w:pPr>
          </w:p>
          <w:p w14:paraId="533C32DF" w14:textId="77777777" w:rsidR="00B416DB" w:rsidRDefault="00B416DB" w:rsidP="00B416DB">
            <w:pPr>
              <w:ind w:left="360"/>
              <w:rPr>
                <w:rFonts w:ascii="Calibri" w:eastAsia="Aptos" w:hAnsi="Calibri" w:cs="Calibri"/>
                <w:b/>
                <w:bCs/>
                <w:sz w:val="22"/>
                <w:szCs w:val="22"/>
                <w:lang w:val="fr-CA"/>
              </w:rPr>
            </w:pPr>
            <w:r w:rsidRPr="00485F65">
              <w:rPr>
                <w:rFonts w:ascii="Calibri" w:eastAsia="Aptos" w:hAnsi="Calibri" w:cs="Calibri"/>
                <w:b/>
                <w:bCs/>
                <w:sz w:val="22"/>
                <w:szCs w:val="22"/>
                <w:lang w:val="fr-CA"/>
              </w:rPr>
              <w:t>Exception proposée par le gouvernement</w:t>
            </w:r>
            <w:r>
              <w:rPr>
                <w:rFonts w:ascii="Calibri" w:eastAsia="Aptos" w:hAnsi="Calibri" w:cs="Calibri"/>
                <w:b/>
                <w:bCs/>
                <w:sz w:val="22"/>
                <w:szCs w:val="22"/>
                <w:lang w:val="fr-CA"/>
              </w:rPr>
              <w:t xml:space="preserve"> </w:t>
            </w:r>
            <w:r w:rsidRPr="00485F65">
              <w:rPr>
                <w:rFonts w:ascii="Calibri" w:eastAsia="Aptos" w:hAnsi="Calibri" w:cs="Calibri"/>
                <w:b/>
                <w:bCs/>
                <w:sz w:val="22"/>
                <w:szCs w:val="22"/>
                <w:lang w:val="fr-CA"/>
              </w:rPr>
              <w:t xml:space="preserve">: </w:t>
            </w:r>
          </w:p>
          <w:p w14:paraId="6DB222D4" w14:textId="77777777" w:rsidR="00B416DB" w:rsidRPr="00485F65" w:rsidRDefault="00B416DB" w:rsidP="00B416DB">
            <w:pPr>
              <w:pStyle w:val="Paragraphedeliste"/>
              <w:ind w:left="360"/>
              <w:rPr>
                <w:rFonts w:ascii="Calibri" w:eastAsia="Aptos" w:hAnsi="Calibri" w:cs="Calibri"/>
                <w:color w:val="000000" w:themeColor="text1"/>
                <w:sz w:val="22"/>
                <w:szCs w:val="22"/>
                <w:lang w:val="fr-CA"/>
              </w:rPr>
            </w:pPr>
            <w:r>
              <w:rPr>
                <w:rFonts w:ascii="Calibri" w:eastAsia="Aptos" w:hAnsi="Calibri" w:cs="Calibri"/>
                <w:color w:val="000000" w:themeColor="text1"/>
                <w:sz w:val="22"/>
                <w:szCs w:val="22"/>
                <w:lang w:val="fr-CA"/>
              </w:rPr>
              <w:t>Aucune exception</w:t>
            </w:r>
            <w:r w:rsidRPr="00485F65">
              <w:rPr>
                <w:rFonts w:ascii="Calibri" w:eastAsia="Aptos" w:hAnsi="Calibri" w:cs="Calibri"/>
                <w:color w:val="000000" w:themeColor="text1"/>
                <w:sz w:val="22"/>
                <w:szCs w:val="22"/>
                <w:lang w:val="fr-CA"/>
              </w:rPr>
              <w:t>.</w:t>
            </w:r>
          </w:p>
          <w:p w14:paraId="51229D27" w14:textId="70F121FF" w:rsidR="009B0F33" w:rsidRPr="00485F65" w:rsidRDefault="009B0F33" w:rsidP="00A72FCE">
            <w:pPr>
              <w:pStyle w:val="Paragraphedeliste"/>
              <w:ind w:left="360"/>
              <w:rPr>
                <w:rFonts w:ascii="Calibri" w:eastAsia="Aptos" w:hAnsi="Calibri" w:cs="Calibri"/>
                <w:color w:val="000000" w:themeColor="text1"/>
                <w:sz w:val="22"/>
                <w:szCs w:val="22"/>
                <w:lang w:val="fr-CA"/>
              </w:rPr>
            </w:pPr>
          </w:p>
        </w:tc>
        <w:tc>
          <w:tcPr>
            <w:tcW w:w="6787" w:type="dxa"/>
          </w:tcPr>
          <w:p w14:paraId="6B8DB47A" w14:textId="77777777" w:rsidR="00B416DB" w:rsidRDefault="00B416DB" w:rsidP="00B416DB">
            <w:pPr>
              <w:pStyle w:val="Paragraphedeliste"/>
              <w:numPr>
                <w:ilvl w:val="0"/>
                <w:numId w:val="3"/>
              </w:numPr>
              <w:spacing w:line="240" w:lineRule="auto"/>
              <w:rPr>
                <w:rFonts w:ascii="Calibri" w:hAnsi="Calibri" w:cs="Calibri"/>
                <w:sz w:val="22"/>
                <w:szCs w:val="22"/>
                <w:lang w:val="fr-CA"/>
              </w:rPr>
            </w:pPr>
            <w:r w:rsidRPr="00B416DB">
              <w:rPr>
                <w:rFonts w:ascii="Calibri" w:hAnsi="Calibri" w:cs="Calibri"/>
                <w:sz w:val="22"/>
                <w:szCs w:val="22"/>
                <w:lang w:val="fr-CA"/>
              </w:rPr>
              <w:t xml:space="preserve">Demander une exception pour les chiens enregistrés auprès du CCC et tous les chiens enregistrés auprès des associations de race en vertu de la </w:t>
            </w:r>
            <w:r w:rsidRPr="004F3BBD">
              <w:rPr>
                <w:rFonts w:ascii="Calibri" w:hAnsi="Calibri" w:cs="Calibri"/>
                <w:i/>
                <w:iCs/>
                <w:sz w:val="22"/>
                <w:szCs w:val="22"/>
                <w:lang w:val="fr-CA"/>
              </w:rPr>
              <w:t>Loi sur la généalogie des animaux</w:t>
            </w:r>
            <w:r w:rsidRPr="00B416DB">
              <w:rPr>
                <w:rFonts w:ascii="Calibri" w:hAnsi="Calibri" w:cs="Calibri"/>
                <w:sz w:val="22"/>
                <w:szCs w:val="22"/>
                <w:lang w:val="fr-CA"/>
              </w:rPr>
              <w:t xml:space="preserve"> :</w:t>
            </w:r>
          </w:p>
          <w:p w14:paraId="1AECFDD3" w14:textId="1CC940F7" w:rsidR="009B0F33" w:rsidRPr="00B416DB" w:rsidRDefault="00B416DB" w:rsidP="00B416DB">
            <w:pPr>
              <w:pStyle w:val="Paragraphedeliste"/>
              <w:numPr>
                <w:ilvl w:val="0"/>
                <w:numId w:val="5"/>
              </w:numPr>
              <w:spacing w:line="240" w:lineRule="auto"/>
              <w:rPr>
                <w:rFonts w:ascii="Calibri" w:hAnsi="Calibri" w:cs="Calibri"/>
                <w:sz w:val="22"/>
                <w:szCs w:val="22"/>
                <w:lang w:val="fr-CA"/>
              </w:rPr>
            </w:pPr>
            <w:r w:rsidRPr="00B416DB">
              <w:rPr>
                <w:rFonts w:ascii="Calibri" w:hAnsi="Calibri" w:cs="Calibri"/>
                <w:sz w:val="22"/>
                <w:szCs w:val="22"/>
                <w:lang w:val="fr-CA"/>
              </w:rPr>
              <w:t xml:space="preserve">Les éleveurs </w:t>
            </w:r>
            <w:r>
              <w:rPr>
                <w:rFonts w:ascii="Calibri" w:hAnsi="Calibri" w:cs="Calibri"/>
                <w:sz w:val="22"/>
                <w:szCs w:val="22"/>
                <w:lang w:val="fr-CA"/>
              </w:rPr>
              <w:t>membres</w:t>
            </w:r>
            <w:r w:rsidRPr="00B416DB">
              <w:rPr>
                <w:rFonts w:ascii="Calibri" w:hAnsi="Calibri" w:cs="Calibri"/>
                <w:sz w:val="22"/>
                <w:szCs w:val="22"/>
                <w:lang w:val="fr-CA"/>
              </w:rPr>
              <w:t xml:space="preserve"> responsables du CCC utilisent déjà le coefficient de consanguinité (COI), un outil précieux dans les programmes d'élevage, qui est établi par la plupart des registres de race et des écoles de chiens.</w:t>
            </w:r>
          </w:p>
        </w:tc>
      </w:tr>
      <w:tr w:rsidR="009B0F33" w:rsidRPr="004F3BBD" w14:paraId="3261A938" w14:textId="77777777" w:rsidTr="00A72FCE">
        <w:trPr>
          <w:trHeight w:val="564"/>
        </w:trPr>
        <w:tc>
          <w:tcPr>
            <w:tcW w:w="4979" w:type="dxa"/>
            <w:shd w:val="clear" w:color="auto" w:fill="E8E8E8" w:themeFill="background2"/>
          </w:tcPr>
          <w:p w14:paraId="2602F178" w14:textId="3A50FEFA" w:rsidR="009B0F33" w:rsidRDefault="00B416DB" w:rsidP="0032207A">
            <w:pPr>
              <w:pStyle w:val="Paragraphedeliste"/>
              <w:numPr>
                <w:ilvl w:val="0"/>
                <w:numId w:val="2"/>
              </w:numPr>
              <w:spacing w:line="240" w:lineRule="auto"/>
              <w:rPr>
                <w:rFonts w:ascii="Calibri" w:hAnsi="Calibri" w:cs="Calibri"/>
                <w:sz w:val="22"/>
                <w:szCs w:val="22"/>
                <w:lang w:val="fr-CA"/>
              </w:rPr>
            </w:pPr>
            <w:r w:rsidRPr="00B416DB">
              <w:rPr>
                <w:rFonts w:ascii="Calibri" w:hAnsi="Calibri" w:cs="Calibri"/>
                <w:sz w:val="22"/>
                <w:szCs w:val="22"/>
                <w:lang w:val="fr-CA"/>
              </w:rPr>
              <w:t>Séparer un chiot de sa mère ou lui substituer une mère avant l'âge de 56 jours (8 semaines).</w:t>
            </w:r>
          </w:p>
          <w:p w14:paraId="64765E45" w14:textId="77777777" w:rsidR="00B416DB" w:rsidRPr="00B416DB" w:rsidRDefault="00B416DB" w:rsidP="00B416DB">
            <w:pPr>
              <w:pStyle w:val="Paragraphedeliste"/>
              <w:spacing w:line="240" w:lineRule="auto"/>
              <w:ind w:left="360"/>
              <w:rPr>
                <w:rFonts w:ascii="Calibri" w:hAnsi="Calibri" w:cs="Calibri"/>
                <w:sz w:val="22"/>
                <w:szCs w:val="22"/>
                <w:lang w:val="fr-CA"/>
              </w:rPr>
            </w:pPr>
          </w:p>
          <w:p w14:paraId="128CBE31" w14:textId="77777777" w:rsidR="0032207A" w:rsidRDefault="0032207A" w:rsidP="0032207A">
            <w:pPr>
              <w:ind w:left="360"/>
              <w:rPr>
                <w:rFonts w:ascii="Calibri" w:eastAsia="Aptos" w:hAnsi="Calibri" w:cs="Calibri"/>
                <w:b/>
                <w:bCs/>
                <w:sz w:val="22"/>
                <w:szCs w:val="22"/>
                <w:lang w:val="fr-CA"/>
              </w:rPr>
            </w:pPr>
            <w:r w:rsidRPr="00485F65">
              <w:rPr>
                <w:rFonts w:ascii="Calibri" w:eastAsia="Aptos" w:hAnsi="Calibri" w:cs="Calibri"/>
                <w:b/>
                <w:bCs/>
                <w:sz w:val="22"/>
                <w:szCs w:val="22"/>
                <w:lang w:val="fr-CA"/>
              </w:rPr>
              <w:t>Exception proposée par le gouvernement</w:t>
            </w:r>
            <w:r>
              <w:rPr>
                <w:rFonts w:ascii="Calibri" w:eastAsia="Aptos" w:hAnsi="Calibri" w:cs="Calibri"/>
                <w:b/>
                <w:bCs/>
                <w:sz w:val="22"/>
                <w:szCs w:val="22"/>
                <w:lang w:val="fr-CA"/>
              </w:rPr>
              <w:t xml:space="preserve"> </w:t>
            </w:r>
            <w:r w:rsidRPr="00485F65">
              <w:rPr>
                <w:rFonts w:ascii="Calibri" w:eastAsia="Aptos" w:hAnsi="Calibri" w:cs="Calibri"/>
                <w:b/>
                <w:bCs/>
                <w:sz w:val="22"/>
                <w:szCs w:val="22"/>
                <w:lang w:val="fr-CA"/>
              </w:rPr>
              <w:t xml:space="preserve">: </w:t>
            </w:r>
          </w:p>
          <w:p w14:paraId="59F65CBD" w14:textId="7A10AF44" w:rsidR="009B0F33" w:rsidRPr="0032207A" w:rsidRDefault="0032207A" w:rsidP="00A72FCE">
            <w:pPr>
              <w:pStyle w:val="Paragraphedeliste"/>
              <w:ind w:left="360"/>
              <w:rPr>
                <w:rFonts w:ascii="Calibri" w:hAnsi="Calibri" w:cs="Calibri"/>
                <w:sz w:val="22"/>
                <w:szCs w:val="22"/>
                <w:lang w:val="fr-CA"/>
              </w:rPr>
            </w:pPr>
            <w:r w:rsidRPr="0032207A">
              <w:rPr>
                <w:rFonts w:ascii="Calibri" w:hAnsi="Calibri" w:cs="Calibri"/>
                <w:sz w:val="22"/>
                <w:szCs w:val="22"/>
                <w:lang w:val="fr-CA"/>
              </w:rPr>
              <w:t>Exception dans les cas où un vétérinaire recommande, par écrit, qu'un chiot soit séparé de sa mère ou de sa mère de substitution avant l'âge de 56 jours pour des raisons de santé et de bien-être (par exemple, si une mère rejette un chiot ou si d'autres membres de la portée font preuve d'agressivité à l'égard d'un chiot).</w:t>
            </w:r>
          </w:p>
        </w:tc>
        <w:tc>
          <w:tcPr>
            <w:tcW w:w="6787" w:type="dxa"/>
          </w:tcPr>
          <w:p w14:paraId="5B5097D3" w14:textId="0D7758A0" w:rsidR="009B0F33" w:rsidRPr="00485F65" w:rsidRDefault="0032207A" w:rsidP="00A72FCE">
            <w:pPr>
              <w:pStyle w:val="Paragraphedeliste"/>
              <w:numPr>
                <w:ilvl w:val="0"/>
                <w:numId w:val="3"/>
              </w:numPr>
              <w:spacing w:line="240" w:lineRule="auto"/>
              <w:rPr>
                <w:rFonts w:ascii="Calibri" w:hAnsi="Calibri" w:cs="Calibri"/>
                <w:sz w:val="22"/>
                <w:szCs w:val="22"/>
                <w:lang w:val="fr-CA"/>
              </w:rPr>
            </w:pPr>
            <w:r w:rsidRPr="0032207A">
              <w:rPr>
                <w:rFonts w:ascii="Calibri" w:hAnsi="Calibri" w:cs="Calibri"/>
                <w:sz w:val="22"/>
                <w:szCs w:val="22"/>
                <w:lang w:val="fr-CA"/>
              </w:rPr>
              <w:t xml:space="preserve">Demander une exception pour les chiens enregistrés auprès du CCC et tous les chiens enregistrés auprès des associations de race en vertu de la </w:t>
            </w:r>
            <w:r w:rsidR="004F3BBD">
              <w:rPr>
                <w:rFonts w:ascii="Calibri" w:hAnsi="Calibri" w:cs="Calibri"/>
                <w:i/>
                <w:iCs/>
                <w:sz w:val="22"/>
                <w:szCs w:val="22"/>
                <w:lang w:val="fr-CA"/>
              </w:rPr>
              <w:t>L</w:t>
            </w:r>
            <w:r w:rsidRPr="004F3BBD">
              <w:rPr>
                <w:rFonts w:ascii="Calibri" w:hAnsi="Calibri" w:cs="Calibri"/>
                <w:i/>
                <w:iCs/>
                <w:sz w:val="22"/>
                <w:szCs w:val="22"/>
                <w:lang w:val="fr-CA"/>
              </w:rPr>
              <w:t>oi sur la généalogie des animaux</w:t>
            </w:r>
            <w:r w:rsidRPr="0032207A">
              <w:rPr>
                <w:rFonts w:ascii="Calibri" w:hAnsi="Calibri" w:cs="Calibri"/>
                <w:sz w:val="22"/>
                <w:szCs w:val="22"/>
                <w:lang w:val="fr-CA"/>
              </w:rPr>
              <w:t xml:space="preserve"> parce que</w:t>
            </w:r>
            <w:r>
              <w:rPr>
                <w:rFonts w:ascii="Calibri" w:hAnsi="Calibri" w:cs="Calibri"/>
                <w:sz w:val="22"/>
                <w:szCs w:val="22"/>
                <w:lang w:val="fr-CA"/>
              </w:rPr>
              <w:t xml:space="preserve"> </w:t>
            </w:r>
            <w:r w:rsidR="009B0F33" w:rsidRPr="00485F65">
              <w:rPr>
                <w:rFonts w:ascii="Calibri" w:hAnsi="Calibri" w:cs="Calibri"/>
                <w:sz w:val="22"/>
                <w:szCs w:val="22"/>
                <w:lang w:val="fr-CA"/>
              </w:rPr>
              <w:t>:</w:t>
            </w:r>
          </w:p>
          <w:p w14:paraId="08EFC57C" w14:textId="3F09635D" w:rsidR="0032207A" w:rsidRPr="0032207A" w:rsidRDefault="0032207A" w:rsidP="0032207A">
            <w:pPr>
              <w:pStyle w:val="Paragraphedeliste"/>
              <w:numPr>
                <w:ilvl w:val="0"/>
                <w:numId w:val="7"/>
              </w:numPr>
              <w:spacing w:before="240" w:after="240" w:line="240" w:lineRule="auto"/>
              <w:rPr>
                <w:rFonts w:ascii="Calibri" w:hAnsi="Calibri" w:cs="Calibri"/>
                <w:sz w:val="22"/>
                <w:szCs w:val="22"/>
                <w:lang w:val="fr-CA"/>
              </w:rPr>
            </w:pPr>
            <w:r w:rsidRPr="0032207A">
              <w:rPr>
                <w:rFonts w:ascii="Calibri" w:hAnsi="Calibri" w:cs="Calibri"/>
                <w:sz w:val="22"/>
                <w:szCs w:val="22"/>
                <w:lang w:val="fr-CA"/>
              </w:rPr>
              <w:t>Cette exigence peut déjà être satisfaite efficacement grâce aux normes de soins existantes décrites dans la loi visant le bien-être des animaux.</w:t>
            </w:r>
          </w:p>
          <w:p w14:paraId="7177D0C1" w14:textId="77777777" w:rsidR="0032207A" w:rsidRPr="0032207A" w:rsidRDefault="0032207A" w:rsidP="0032207A">
            <w:pPr>
              <w:pStyle w:val="Paragraphedeliste"/>
              <w:numPr>
                <w:ilvl w:val="0"/>
                <w:numId w:val="7"/>
              </w:numPr>
              <w:spacing w:before="240" w:after="240" w:line="240" w:lineRule="auto"/>
              <w:rPr>
                <w:rFonts w:ascii="Calibri" w:hAnsi="Calibri" w:cs="Calibri"/>
                <w:sz w:val="22"/>
                <w:szCs w:val="22"/>
                <w:lang w:val="fr-CA"/>
              </w:rPr>
            </w:pPr>
            <w:r w:rsidRPr="0032207A">
              <w:rPr>
                <w:rFonts w:ascii="Calibri" w:hAnsi="Calibri" w:cs="Calibri"/>
                <w:sz w:val="22"/>
                <w:szCs w:val="22"/>
                <w:lang w:val="fr-CA"/>
              </w:rPr>
              <w:t xml:space="preserve">L'âge de 8 semaines n'est pas encore confirmé par des recherches sur le comportement, mais des recherches approfondies montrent que l'enrichissement et la socialisation au cours des 2 à 12 premières semaines de vie (qui peuvent nécessiter une séparation intermittente d'avec la mère) sont plus bénéfiques pour la prévention des problèmes de comportement chez les chiens adultes que la présence de la mère. </w:t>
            </w:r>
          </w:p>
          <w:p w14:paraId="29B56447" w14:textId="4B9336CE" w:rsidR="009B0F33" w:rsidRPr="00485F65" w:rsidRDefault="0032207A" w:rsidP="0032207A">
            <w:pPr>
              <w:pStyle w:val="Paragraphedeliste"/>
              <w:numPr>
                <w:ilvl w:val="0"/>
                <w:numId w:val="7"/>
              </w:numPr>
              <w:spacing w:line="240" w:lineRule="auto"/>
              <w:rPr>
                <w:rFonts w:ascii="Calibri" w:hAnsi="Calibri" w:cs="Calibri"/>
                <w:sz w:val="22"/>
                <w:szCs w:val="22"/>
                <w:lang w:val="fr-CA"/>
              </w:rPr>
            </w:pPr>
            <w:r w:rsidRPr="0032207A">
              <w:rPr>
                <w:rFonts w:ascii="Calibri" w:hAnsi="Calibri" w:cs="Calibri"/>
                <w:sz w:val="22"/>
                <w:szCs w:val="22"/>
                <w:lang w:val="fr-CA"/>
              </w:rPr>
              <w:t xml:space="preserve">Ressources sur le comportement des nouveau-nés au cours des premiers mois </w:t>
            </w:r>
            <w:r>
              <w:rPr>
                <w:rFonts w:ascii="Calibri" w:hAnsi="Calibri" w:cs="Calibri"/>
                <w:sz w:val="22"/>
                <w:szCs w:val="22"/>
                <w:lang w:val="fr-CA"/>
              </w:rPr>
              <w:t xml:space="preserve">(lien anglais) </w:t>
            </w:r>
            <w:r w:rsidRPr="0032207A">
              <w:rPr>
                <w:rFonts w:ascii="Calibri" w:hAnsi="Calibri" w:cs="Calibri"/>
                <w:sz w:val="22"/>
                <w:szCs w:val="22"/>
                <w:lang w:val="fr-CA"/>
              </w:rPr>
              <w:t xml:space="preserve">: </w:t>
            </w:r>
            <w:hyperlink r:id="rId8" w:anchor="sec4-animals-12-02895title">
              <w:r w:rsidR="009B0F33" w:rsidRPr="00485F65">
                <w:rPr>
                  <w:rStyle w:val="Hyperlien"/>
                  <w:rFonts w:ascii="Calibri" w:hAnsi="Calibri" w:cs="Calibri"/>
                  <w:sz w:val="22"/>
                  <w:szCs w:val="22"/>
                  <w:lang w:val="fr-CA"/>
                </w:rPr>
                <w:t>https://www.ncbi.nlm.nih.gov/pmc/articles/PMC9655304/#sec4-animals-12-02895title</w:t>
              </w:r>
            </w:hyperlink>
            <w:r w:rsidR="009B0F33" w:rsidRPr="00485F65">
              <w:rPr>
                <w:rFonts w:ascii="Calibri" w:hAnsi="Calibri" w:cs="Calibri"/>
                <w:sz w:val="22"/>
                <w:szCs w:val="22"/>
                <w:lang w:val="fr-CA"/>
              </w:rPr>
              <w:t xml:space="preserve"> </w:t>
            </w:r>
          </w:p>
          <w:p w14:paraId="2ED4BCF4" w14:textId="19F8AC2C" w:rsidR="009B0F33" w:rsidRPr="00485F65" w:rsidRDefault="0032207A" w:rsidP="00A72FCE">
            <w:pPr>
              <w:pStyle w:val="Paragraphedeliste"/>
              <w:numPr>
                <w:ilvl w:val="0"/>
                <w:numId w:val="3"/>
              </w:numPr>
              <w:spacing w:before="240" w:after="240" w:line="240" w:lineRule="auto"/>
              <w:rPr>
                <w:rFonts w:ascii="Calibri" w:hAnsi="Calibri" w:cs="Calibri"/>
                <w:sz w:val="22"/>
                <w:szCs w:val="22"/>
                <w:lang w:val="fr-CA"/>
              </w:rPr>
            </w:pPr>
            <w:r w:rsidRPr="0032207A">
              <w:rPr>
                <w:rFonts w:ascii="Calibri" w:hAnsi="Calibri" w:cs="Calibri"/>
                <w:sz w:val="22"/>
                <w:szCs w:val="22"/>
                <w:lang w:val="fr-CA"/>
              </w:rPr>
              <w:lastRenderedPageBreak/>
              <w:t xml:space="preserve">Suggérer au gouvernement de réécrire le règlement pour autoriser la « séparation temporaire » à des fins de sevrage et de socialisation. Les séparations temporaires peuvent être bénéfiques et sont souvent utilisées par des éleveurs responsables pour mettre en place des protocoles de socialisation et de formation essentiels qui contribuent au développement complet du chiot. Par conséquent, la « séparation permanente » à des fins de transfert ou de vente d'un chiot doit être spécifiquement mentionnée dans le règlement.  </w:t>
            </w:r>
          </w:p>
        </w:tc>
      </w:tr>
    </w:tbl>
    <w:p w14:paraId="48DEF464" w14:textId="77777777" w:rsidR="00283B28" w:rsidRPr="00485F65" w:rsidRDefault="00283B28">
      <w:pPr>
        <w:rPr>
          <w:rFonts w:ascii="Calibri" w:hAnsi="Calibri" w:cs="Calibri"/>
          <w:sz w:val="22"/>
          <w:szCs w:val="22"/>
          <w:lang w:val="fr-CA"/>
        </w:rPr>
      </w:pPr>
    </w:p>
    <w:sectPr w:rsidR="00283B28" w:rsidRPr="00485F65" w:rsidSect="00A72FC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86F0"/>
    <w:multiLevelType w:val="hybridMultilevel"/>
    <w:tmpl w:val="A14EC1CA"/>
    <w:lvl w:ilvl="0" w:tplc="38EACEEE">
      <w:start w:val="1"/>
      <w:numFmt w:val="bullet"/>
      <w:lvlText w:val=""/>
      <w:lvlJc w:val="left"/>
      <w:pPr>
        <w:ind w:left="360" w:hanging="360"/>
      </w:pPr>
      <w:rPr>
        <w:rFonts w:ascii="Symbol" w:hAnsi="Symbol" w:hint="default"/>
      </w:rPr>
    </w:lvl>
    <w:lvl w:ilvl="1" w:tplc="0B7E213A">
      <w:start w:val="1"/>
      <w:numFmt w:val="bullet"/>
      <w:lvlText w:val="o"/>
      <w:lvlJc w:val="left"/>
      <w:pPr>
        <w:ind w:left="1080" w:hanging="360"/>
      </w:pPr>
      <w:rPr>
        <w:rFonts w:ascii="Courier New" w:hAnsi="Courier New" w:hint="default"/>
      </w:rPr>
    </w:lvl>
    <w:lvl w:ilvl="2" w:tplc="2DCEBB9E">
      <w:start w:val="1"/>
      <w:numFmt w:val="bullet"/>
      <w:lvlText w:val=""/>
      <w:lvlJc w:val="left"/>
      <w:pPr>
        <w:ind w:left="1800" w:hanging="360"/>
      </w:pPr>
      <w:rPr>
        <w:rFonts w:ascii="Wingdings" w:hAnsi="Wingdings" w:hint="default"/>
      </w:rPr>
    </w:lvl>
    <w:lvl w:ilvl="3" w:tplc="1E065616">
      <w:start w:val="1"/>
      <w:numFmt w:val="bullet"/>
      <w:lvlText w:val=""/>
      <w:lvlJc w:val="left"/>
      <w:pPr>
        <w:ind w:left="2520" w:hanging="360"/>
      </w:pPr>
      <w:rPr>
        <w:rFonts w:ascii="Symbol" w:hAnsi="Symbol" w:hint="default"/>
      </w:rPr>
    </w:lvl>
    <w:lvl w:ilvl="4" w:tplc="0596BECA">
      <w:start w:val="1"/>
      <w:numFmt w:val="bullet"/>
      <w:lvlText w:val="o"/>
      <w:lvlJc w:val="left"/>
      <w:pPr>
        <w:ind w:left="3240" w:hanging="360"/>
      </w:pPr>
      <w:rPr>
        <w:rFonts w:ascii="Courier New" w:hAnsi="Courier New" w:hint="default"/>
      </w:rPr>
    </w:lvl>
    <w:lvl w:ilvl="5" w:tplc="FEBE5AAE">
      <w:start w:val="1"/>
      <w:numFmt w:val="bullet"/>
      <w:lvlText w:val=""/>
      <w:lvlJc w:val="left"/>
      <w:pPr>
        <w:ind w:left="3960" w:hanging="360"/>
      </w:pPr>
      <w:rPr>
        <w:rFonts w:ascii="Wingdings" w:hAnsi="Wingdings" w:hint="default"/>
      </w:rPr>
    </w:lvl>
    <w:lvl w:ilvl="6" w:tplc="1ACA05D2">
      <w:start w:val="1"/>
      <w:numFmt w:val="bullet"/>
      <w:lvlText w:val=""/>
      <w:lvlJc w:val="left"/>
      <w:pPr>
        <w:ind w:left="4680" w:hanging="360"/>
      </w:pPr>
      <w:rPr>
        <w:rFonts w:ascii="Symbol" w:hAnsi="Symbol" w:hint="default"/>
      </w:rPr>
    </w:lvl>
    <w:lvl w:ilvl="7" w:tplc="A8100B48">
      <w:start w:val="1"/>
      <w:numFmt w:val="bullet"/>
      <w:lvlText w:val="o"/>
      <w:lvlJc w:val="left"/>
      <w:pPr>
        <w:ind w:left="5400" w:hanging="360"/>
      </w:pPr>
      <w:rPr>
        <w:rFonts w:ascii="Courier New" w:hAnsi="Courier New" w:hint="default"/>
      </w:rPr>
    </w:lvl>
    <w:lvl w:ilvl="8" w:tplc="4C6C5D3A">
      <w:start w:val="1"/>
      <w:numFmt w:val="bullet"/>
      <w:lvlText w:val=""/>
      <w:lvlJc w:val="left"/>
      <w:pPr>
        <w:ind w:left="6120" w:hanging="360"/>
      </w:pPr>
      <w:rPr>
        <w:rFonts w:ascii="Wingdings" w:hAnsi="Wingdings" w:hint="default"/>
      </w:rPr>
    </w:lvl>
  </w:abstractNum>
  <w:abstractNum w:abstractNumId="1" w15:restartNumberingAfterBreak="0">
    <w:nsid w:val="1F4E3D1E"/>
    <w:multiLevelType w:val="hybridMultilevel"/>
    <w:tmpl w:val="E64466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982688A"/>
    <w:multiLevelType w:val="hybridMultilevel"/>
    <w:tmpl w:val="9F167D54"/>
    <w:lvl w:ilvl="0" w:tplc="8FC29B24">
      <w:start w:val="1"/>
      <w:numFmt w:val="decimal"/>
      <w:lvlText w:val="%1."/>
      <w:lvlJc w:val="left"/>
      <w:pPr>
        <w:ind w:left="360" w:hanging="360"/>
      </w:pPr>
    </w:lvl>
    <w:lvl w:ilvl="1" w:tplc="57D04178">
      <w:start w:val="1"/>
      <w:numFmt w:val="bullet"/>
      <w:lvlText w:val=""/>
      <w:lvlJc w:val="left"/>
      <w:pPr>
        <w:ind w:left="1080" w:hanging="360"/>
      </w:pPr>
      <w:rPr>
        <w:rFonts w:ascii="Symbol" w:hAnsi="Symbol" w:hint="default"/>
      </w:rPr>
    </w:lvl>
    <w:lvl w:ilvl="2" w:tplc="EF1E1B1E">
      <w:start w:val="1"/>
      <w:numFmt w:val="lowerRoman"/>
      <w:lvlText w:val="%3."/>
      <w:lvlJc w:val="right"/>
      <w:pPr>
        <w:ind w:left="1800" w:hanging="180"/>
      </w:pPr>
    </w:lvl>
    <w:lvl w:ilvl="3" w:tplc="A46EA91A">
      <w:start w:val="1"/>
      <w:numFmt w:val="decimal"/>
      <w:lvlText w:val="%4."/>
      <w:lvlJc w:val="left"/>
      <w:pPr>
        <w:ind w:left="2520" w:hanging="360"/>
      </w:pPr>
    </w:lvl>
    <w:lvl w:ilvl="4" w:tplc="E29C0456">
      <w:start w:val="1"/>
      <w:numFmt w:val="lowerLetter"/>
      <w:lvlText w:val="%5."/>
      <w:lvlJc w:val="left"/>
      <w:pPr>
        <w:ind w:left="3240" w:hanging="360"/>
      </w:pPr>
    </w:lvl>
    <w:lvl w:ilvl="5" w:tplc="A394D3C4">
      <w:start w:val="1"/>
      <w:numFmt w:val="lowerRoman"/>
      <w:lvlText w:val="%6."/>
      <w:lvlJc w:val="right"/>
      <w:pPr>
        <w:ind w:left="3960" w:hanging="180"/>
      </w:pPr>
    </w:lvl>
    <w:lvl w:ilvl="6" w:tplc="948AEEBA">
      <w:start w:val="1"/>
      <w:numFmt w:val="decimal"/>
      <w:lvlText w:val="%7."/>
      <w:lvlJc w:val="left"/>
      <w:pPr>
        <w:ind w:left="4680" w:hanging="360"/>
      </w:pPr>
    </w:lvl>
    <w:lvl w:ilvl="7" w:tplc="D938F2D2">
      <w:start w:val="1"/>
      <w:numFmt w:val="lowerLetter"/>
      <w:lvlText w:val="%8."/>
      <w:lvlJc w:val="left"/>
      <w:pPr>
        <w:ind w:left="5400" w:hanging="360"/>
      </w:pPr>
    </w:lvl>
    <w:lvl w:ilvl="8" w:tplc="0F92B7C6">
      <w:start w:val="1"/>
      <w:numFmt w:val="lowerRoman"/>
      <w:lvlText w:val="%9."/>
      <w:lvlJc w:val="right"/>
      <w:pPr>
        <w:ind w:left="6120" w:hanging="180"/>
      </w:pPr>
    </w:lvl>
  </w:abstractNum>
  <w:abstractNum w:abstractNumId="3" w15:restartNumberingAfterBreak="0">
    <w:nsid w:val="3EC55173"/>
    <w:multiLevelType w:val="hybridMultilevel"/>
    <w:tmpl w:val="342A8938"/>
    <w:lvl w:ilvl="0" w:tplc="1009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4AAC5891"/>
    <w:multiLevelType w:val="hybridMultilevel"/>
    <w:tmpl w:val="A802F712"/>
    <w:lvl w:ilvl="0" w:tplc="0E1A5BF4">
      <w:start w:val="1"/>
      <w:numFmt w:val="bullet"/>
      <w:lvlText w:val=""/>
      <w:lvlJc w:val="left"/>
      <w:pPr>
        <w:ind w:left="360" w:hanging="360"/>
      </w:pPr>
      <w:rPr>
        <w:rFonts w:ascii="Symbol" w:hAnsi="Symbol" w:hint="default"/>
      </w:rPr>
    </w:lvl>
    <w:lvl w:ilvl="1" w:tplc="2DAEC374">
      <w:start w:val="1"/>
      <w:numFmt w:val="bullet"/>
      <w:lvlText w:val="o"/>
      <w:lvlJc w:val="left"/>
      <w:pPr>
        <w:ind w:left="1080" w:hanging="360"/>
      </w:pPr>
      <w:rPr>
        <w:rFonts w:ascii="Courier New" w:hAnsi="Courier New" w:hint="default"/>
      </w:rPr>
    </w:lvl>
    <w:lvl w:ilvl="2" w:tplc="CA74519C">
      <w:start w:val="1"/>
      <w:numFmt w:val="bullet"/>
      <w:lvlText w:val=""/>
      <w:lvlJc w:val="left"/>
      <w:pPr>
        <w:ind w:left="1800" w:hanging="360"/>
      </w:pPr>
      <w:rPr>
        <w:rFonts w:ascii="Wingdings" w:hAnsi="Wingdings" w:hint="default"/>
      </w:rPr>
    </w:lvl>
    <w:lvl w:ilvl="3" w:tplc="2C368E92">
      <w:start w:val="1"/>
      <w:numFmt w:val="bullet"/>
      <w:lvlText w:val=""/>
      <w:lvlJc w:val="left"/>
      <w:pPr>
        <w:ind w:left="2520" w:hanging="360"/>
      </w:pPr>
      <w:rPr>
        <w:rFonts w:ascii="Symbol" w:hAnsi="Symbol" w:hint="default"/>
      </w:rPr>
    </w:lvl>
    <w:lvl w:ilvl="4" w:tplc="F508E0D2">
      <w:start w:val="1"/>
      <w:numFmt w:val="bullet"/>
      <w:lvlText w:val="o"/>
      <w:lvlJc w:val="left"/>
      <w:pPr>
        <w:ind w:left="3240" w:hanging="360"/>
      </w:pPr>
      <w:rPr>
        <w:rFonts w:ascii="Courier New" w:hAnsi="Courier New" w:hint="default"/>
      </w:rPr>
    </w:lvl>
    <w:lvl w:ilvl="5" w:tplc="9146BF0C">
      <w:start w:val="1"/>
      <w:numFmt w:val="bullet"/>
      <w:lvlText w:val=""/>
      <w:lvlJc w:val="left"/>
      <w:pPr>
        <w:ind w:left="3960" w:hanging="360"/>
      </w:pPr>
      <w:rPr>
        <w:rFonts w:ascii="Wingdings" w:hAnsi="Wingdings" w:hint="default"/>
      </w:rPr>
    </w:lvl>
    <w:lvl w:ilvl="6" w:tplc="A9886ED4">
      <w:start w:val="1"/>
      <w:numFmt w:val="bullet"/>
      <w:lvlText w:val=""/>
      <w:lvlJc w:val="left"/>
      <w:pPr>
        <w:ind w:left="4680" w:hanging="360"/>
      </w:pPr>
      <w:rPr>
        <w:rFonts w:ascii="Symbol" w:hAnsi="Symbol" w:hint="default"/>
      </w:rPr>
    </w:lvl>
    <w:lvl w:ilvl="7" w:tplc="1CC4DF54">
      <w:start w:val="1"/>
      <w:numFmt w:val="bullet"/>
      <w:lvlText w:val="o"/>
      <w:lvlJc w:val="left"/>
      <w:pPr>
        <w:ind w:left="5400" w:hanging="360"/>
      </w:pPr>
      <w:rPr>
        <w:rFonts w:ascii="Courier New" w:hAnsi="Courier New" w:hint="default"/>
      </w:rPr>
    </w:lvl>
    <w:lvl w:ilvl="8" w:tplc="503C7B18">
      <w:start w:val="1"/>
      <w:numFmt w:val="bullet"/>
      <w:lvlText w:val=""/>
      <w:lvlJc w:val="left"/>
      <w:pPr>
        <w:ind w:left="6120" w:hanging="360"/>
      </w:pPr>
      <w:rPr>
        <w:rFonts w:ascii="Wingdings" w:hAnsi="Wingdings" w:hint="default"/>
      </w:rPr>
    </w:lvl>
  </w:abstractNum>
  <w:abstractNum w:abstractNumId="5" w15:restartNumberingAfterBreak="0">
    <w:nsid w:val="5135088B"/>
    <w:multiLevelType w:val="hybridMultilevel"/>
    <w:tmpl w:val="74AA3C2A"/>
    <w:lvl w:ilvl="0" w:tplc="2184447A">
      <w:start w:val="1"/>
      <w:numFmt w:val="bullet"/>
      <w:lvlText w:val=""/>
      <w:lvlJc w:val="left"/>
      <w:pPr>
        <w:ind w:left="720" w:hanging="360"/>
      </w:pPr>
      <w:rPr>
        <w:rFonts w:ascii="Symbol" w:hAnsi="Symbol" w:hint="default"/>
      </w:rPr>
    </w:lvl>
    <w:lvl w:ilvl="1" w:tplc="7C72A792">
      <w:start w:val="1"/>
      <w:numFmt w:val="bullet"/>
      <w:lvlText w:val="o"/>
      <w:lvlJc w:val="left"/>
      <w:pPr>
        <w:ind w:left="1440" w:hanging="360"/>
      </w:pPr>
      <w:rPr>
        <w:rFonts w:ascii="Courier New" w:hAnsi="Courier New" w:hint="default"/>
      </w:rPr>
    </w:lvl>
    <w:lvl w:ilvl="2" w:tplc="3F4A44F8">
      <w:start w:val="1"/>
      <w:numFmt w:val="bullet"/>
      <w:lvlText w:val=""/>
      <w:lvlJc w:val="left"/>
      <w:pPr>
        <w:ind w:left="2160" w:hanging="360"/>
      </w:pPr>
      <w:rPr>
        <w:rFonts w:ascii="Wingdings" w:hAnsi="Wingdings" w:hint="default"/>
      </w:rPr>
    </w:lvl>
    <w:lvl w:ilvl="3" w:tplc="515223B2">
      <w:start w:val="1"/>
      <w:numFmt w:val="bullet"/>
      <w:lvlText w:val=""/>
      <w:lvlJc w:val="left"/>
      <w:pPr>
        <w:ind w:left="2880" w:hanging="360"/>
      </w:pPr>
      <w:rPr>
        <w:rFonts w:ascii="Symbol" w:hAnsi="Symbol" w:hint="default"/>
      </w:rPr>
    </w:lvl>
    <w:lvl w:ilvl="4" w:tplc="B2201B8E">
      <w:start w:val="1"/>
      <w:numFmt w:val="bullet"/>
      <w:lvlText w:val="o"/>
      <w:lvlJc w:val="left"/>
      <w:pPr>
        <w:ind w:left="3600" w:hanging="360"/>
      </w:pPr>
      <w:rPr>
        <w:rFonts w:ascii="Courier New" w:hAnsi="Courier New" w:hint="default"/>
      </w:rPr>
    </w:lvl>
    <w:lvl w:ilvl="5" w:tplc="6524A59C">
      <w:start w:val="1"/>
      <w:numFmt w:val="bullet"/>
      <w:lvlText w:val=""/>
      <w:lvlJc w:val="left"/>
      <w:pPr>
        <w:ind w:left="4320" w:hanging="360"/>
      </w:pPr>
      <w:rPr>
        <w:rFonts w:ascii="Wingdings" w:hAnsi="Wingdings" w:hint="default"/>
      </w:rPr>
    </w:lvl>
    <w:lvl w:ilvl="6" w:tplc="C9CC3950">
      <w:start w:val="1"/>
      <w:numFmt w:val="bullet"/>
      <w:lvlText w:val=""/>
      <w:lvlJc w:val="left"/>
      <w:pPr>
        <w:ind w:left="5040" w:hanging="360"/>
      </w:pPr>
      <w:rPr>
        <w:rFonts w:ascii="Symbol" w:hAnsi="Symbol" w:hint="default"/>
      </w:rPr>
    </w:lvl>
    <w:lvl w:ilvl="7" w:tplc="41E42412">
      <w:start w:val="1"/>
      <w:numFmt w:val="bullet"/>
      <w:lvlText w:val="o"/>
      <w:lvlJc w:val="left"/>
      <w:pPr>
        <w:ind w:left="5760" w:hanging="360"/>
      </w:pPr>
      <w:rPr>
        <w:rFonts w:ascii="Courier New" w:hAnsi="Courier New" w:hint="default"/>
      </w:rPr>
    </w:lvl>
    <w:lvl w:ilvl="8" w:tplc="3BD27442">
      <w:start w:val="1"/>
      <w:numFmt w:val="bullet"/>
      <w:lvlText w:val=""/>
      <w:lvlJc w:val="left"/>
      <w:pPr>
        <w:ind w:left="6480" w:hanging="360"/>
      </w:pPr>
      <w:rPr>
        <w:rFonts w:ascii="Wingdings" w:hAnsi="Wingdings" w:hint="default"/>
      </w:rPr>
    </w:lvl>
  </w:abstractNum>
  <w:abstractNum w:abstractNumId="6" w15:restartNumberingAfterBreak="0">
    <w:nsid w:val="768407F8"/>
    <w:multiLevelType w:val="hybridMultilevel"/>
    <w:tmpl w:val="E676D30A"/>
    <w:lvl w:ilvl="0" w:tplc="1009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16cid:durableId="576945044">
    <w:abstractNumId w:val="4"/>
  </w:num>
  <w:num w:numId="2" w16cid:durableId="360325578">
    <w:abstractNumId w:val="2"/>
  </w:num>
  <w:num w:numId="3" w16cid:durableId="1792284276">
    <w:abstractNumId w:val="0"/>
  </w:num>
  <w:num w:numId="4" w16cid:durableId="1555774808">
    <w:abstractNumId w:val="1"/>
  </w:num>
  <w:num w:numId="5" w16cid:durableId="97457054">
    <w:abstractNumId w:val="3"/>
  </w:num>
  <w:num w:numId="6" w16cid:durableId="1815290686">
    <w:abstractNumId w:val="5"/>
  </w:num>
  <w:num w:numId="7" w16cid:durableId="2085183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33"/>
    <w:rsid w:val="000E6C52"/>
    <w:rsid w:val="001C7C32"/>
    <w:rsid w:val="00283B28"/>
    <w:rsid w:val="0032207A"/>
    <w:rsid w:val="00485F65"/>
    <w:rsid w:val="00495D33"/>
    <w:rsid w:val="004F3BBD"/>
    <w:rsid w:val="00826BA8"/>
    <w:rsid w:val="009B0F33"/>
    <w:rsid w:val="00A72FCE"/>
    <w:rsid w:val="00B416DB"/>
    <w:rsid w:val="00E25747"/>
    <w:rsid w:val="00E848EA"/>
    <w:rsid w:val="00EB0769"/>
    <w:rsid w:val="00FA6AA8"/>
    <w:rsid w:val="00FD70A3"/>
    <w:rsid w:val="136E45AD"/>
    <w:rsid w:val="4D21B9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182F"/>
  <w15:chartTrackingRefBased/>
  <w15:docId w15:val="{D6FECC1D-7ED2-4CAF-8BD6-864E99FD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33"/>
    <w:pPr>
      <w:spacing w:line="279" w:lineRule="auto"/>
    </w:pPr>
    <w:rPr>
      <w:rFonts w:eastAsiaTheme="minorEastAsia"/>
      <w:kern w:val="0"/>
      <w:lang w:val="en-US" w:eastAsia="ja-JP"/>
      <w14:ligatures w14:val="none"/>
    </w:rPr>
  </w:style>
  <w:style w:type="paragraph" w:styleId="Titre1">
    <w:name w:val="heading 1"/>
    <w:basedOn w:val="Normal"/>
    <w:next w:val="Normal"/>
    <w:link w:val="Titre1Car"/>
    <w:uiPriority w:val="9"/>
    <w:qFormat/>
    <w:rsid w:val="009B0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0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0F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0F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0F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0F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0F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0F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0F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F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0F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0F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0F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0F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0F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0F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0F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0F33"/>
    <w:rPr>
      <w:rFonts w:eastAsiaTheme="majorEastAsia" w:cstheme="majorBidi"/>
      <w:color w:val="272727" w:themeColor="text1" w:themeTint="D8"/>
    </w:rPr>
  </w:style>
  <w:style w:type="paragraph" w:styleId="Titre">
    <w:name w:val="Title"/>
    <w:basedOn w:val="Normal"/>
    <w:next w:val="Normal"/>
    <w:link w:val="TitreCar"/>
    <w:uiPriority w:val="10"/>
    <w:qFormat/>
    <w:rsid w:val="009B0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0F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0F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0F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0F33"/>
    <w:pPr>
      <w:spacing w:before="160"/>
      <w:jc w:val="center"/>
    </w:pPr>
    <w:rPr>
      <w:i/>
      <w:iCs/>
      <w:color w:val="404040" w:themeColor="text1" w:themeTint="BF"/>
    </w:rPr>
  </w:style>
  <w:style w:type="character" w:customStyle="1" w:styleId="CitationCar">
    <w:name w:val="Citation Car"/>
    <w:basedOn w:val="Policepardfaut"/>
    <w:link w:val="Citation"/>
    <w:uiPriority w:val="29"/>
    <w:rsid w:val="009B0F33"/>
    <w:rPr>
      <w:i/>
      <w:iCs/>
      <w:color w:val="404040" w:themeColor="text1" w:themeTint="BF"/>
    </w:rPr>
  </w:style>
  <w:style w:type="paragraph" w:styleId="Paragraphedeliste">
    <w:name w:val="List Paragraph"/>
    <w:basedOn w:val="Normal"/>
    <w:uiPriority w:val="34"/>
    <w:qFormat/>
    <w:rsid w:val="009B0F33"/>
    <w:pPr>
      <w:ind w:left="720"/>
      <w:contextualSpacing/>
    </w:pPr>
  </w:style>
  <w:style w:type="character" w:styleId="Accentuationintense">
    <w:name w:val="Intense Emphasis"/>
    <w:basedOn w:val="Policepardfaut"/>
    <w:uiPriority w:val="21"/>
    <w:qFormat/>
    <w:rsid w:val="009B0F33"/>
    <w:rPr>
      <w:i/>
      <w:iCs/>
      <w:color w:val="0F4761" w:themeColor="accent1" w:themeShade="BF"/>
    </w:rPr>
  </w:style>
  <w:style w:type="paragraph" w:styleId="Citationintense">
    <w:name w:val="Intense Quote"/>
    <w:basedOn w:val="Normal"/>
    <w:next w:val="Normal"/>
    <w:link w:val="CitationintenseCar"/>
    <w:uiPriority w:val="30"/>
    <w:qFormat/>
    <w:rsid w:val="009B0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0F33"/>
    <w:rPr>
      <w:i/>
      <w:iCs/>
      <w:color w:val="0F4761" w:themeColor="accent1" w:themeShade="BF"/>
    </w:rPr>
  </w:style>
  <w:style w:type="character" w:styleId="Rfrenceintense">
    <w:name w:val="Intense Reference"/>
    <w:basedOn w:val="Policepardfaut"/>
    <w:uiPriority w:val="32"/>
    <w:qFormat/>
    <w:rsid w:val="009B0F33"/>
    <w:rPr>
      <w:b/>
      <w:bCs/>
      <w:smallCaps/>
      <w:color w:val="0F4761" w:themeColor="accent1" w:themeShade="BF"/>
      <w:spacing w:val="5"/>
    </w:rPr>
  </w:style>
  <w:style w:type="table" w:styleId="Grilledutableau">
    <w:name w:val="Table Grid"/>
    <w:basedOn w:val="TableauNormal"/>
    <w:uiPriority w:val="59"/>
    <w:rsid w:val="009B0F33"/>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9B0F33"/>
    <w:rPr>
      <w:sz w:val="16"/>
      <w:szCs w:val="16"/>
    </w:rPr>
  </w:style>
  <w:style w:type="paragraph" w:styleId="Commentaire">
    <w:name w:val="annotation text"/>
    <w:basedOn w:val="Normal"/>
    <w:link w:val="CommentaireCar"/>
    <w:uiPriority w:val="99"/>
    <w:unhideWhenUsed/>
    <w:rsid w:val="009B0F33"/>
    <w:pPr>
      <w:spacing w:line="240" w:lineRule="auto"/>
    </w:pPr>
    <w:rPr>
      <w:sz w:val="20"/>
      <w:szCs w:val="20"/>
    </w:rPr>
  </w:style>
  <w:style w:type="character" w:customStyle="1" w:styleId="CommentaireCar">
    <w:name w:val="Commentaire Car"/>
    <w:basedOn w:val="Policepardfaut"/>
    <w:link w:val="Commentaire"/>
    <w:uiPriority w:val="99"/>
    <w:rsid w:val="009B0F33"/>
    <w:rPr>
      <w:rFonts w:eastAsiaTheme="minorEastAsia"/>
      <w:kern w:val="0"/>
      <w:sz w:val="20"/>
      <w:szCs w:val="20"/>
      <w:lang w:val="en-US" w:eastAsia="ja-JP"/>
      <w14:ligatures w14:val="none"/>
    </w:rPr>
  </w:style>
  <w:style w:type="character" w:styleId="Hyperlien">
    <w:name w:val="Hyperlink"/>
    <w:basedOn w:val="Policepardfaut"/>
    <w:uiPriority w:val="99"/>
    <w:unhideWhenUsed/>
    <w:rsid w:val="009B0F33"/>
    <w:rPr>
      <w:color w:val="467886" w:themeColor="hyperlink"/>
      <w:u w:val="single"/>
    </w:rPr>
  </w:style>
  <w:style w:type="character" w:styleId="Lienvisit">
    <w:name w:val="FollowedHyperlink"/>
    <w:basedOn w:val="Policepardfaut"/>
    <w:uiPriority w:val="99"/>
    <w:semiHidden/>
    <w:unhideWhenUsed/>
    <w:rsid w:val="003220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65530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8EA8AA0D54E428C3525BC37CD7792" ma:contentTypeVersion="4" ma:contentTypeDescription="Create a new document." ma:contentTypeScope="" ma:versionID="d04596ef6c3f7164423acebc516f7a13">
  <xsd:schema xmlns:xsd="http://www.w3.org/2001/XMLSchema" xmlns:xs="http://www.w3.org/2001/XMLSchema" xmlns:p="http://schemas.microsoft.com/office/2006/metadata/properties" xmlns:ns2="23110478-57a4-4a09-8e9b-b2ba32bc7bde" targetNamespace="http://schemas.microsoft.com/office/2006/metadata/properties" ma:root="true" ma:fieldsID="d40afa1cbb2cae598347d96a78a0a155" ns2:_="">
    <xsd:import namespace="23110478-57a4-4a09-8e9b-b2ba32bc7b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0478-57a4-4a09-8e9b-b2ba32bc7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F230A-62D0-4417-A66B-8050DF48A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7F7033-4A80-4DDC-A77A-E412D08478D6}">
  <ds:schemaRefs>
    <ds:schemaRef ds:uri="http://schemas.microsoft.com/sharepoint/v3/contenttype/forms"/>
  </ds:schemaRefs>
</ds:datastoreItem>
</file>

<file path=customXml/itemProps3.xml><?xml version="1.0" encoding="utf-8"?>
<ds:datastoreItem xmlns:ds="http://schemas.openxmlformats.org/officeDocument/2006/customXml" ds:itemID="{93D429AE-3F6F-414E-9754-2F57C788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10478-57a4-4a09-8e9b-b2ba32bc7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Dhvani Malik</dc:creator>
  <cp:keywords/>
  <dc:description/>
  <cp:lastModifiedBy>Hélène Buisson</cp:lastModifiedBy>
  <cp:revision>4</cp:revision>
  <dcterms:created xsi:type="dcterms:W3CDTF">2025-01-17T19:18:00Z</dcterms:created>
  <dcterms:modified xsi:type="dcterms:W3CDTF">2025-01-18T17:19:00Z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0x0101000228EA8AA0D54E428C3525BC37CD7792</vt:lpwstr>
  </property>
</Properties>
</file>